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50" w:rsidRDefault="00137D3A">
      <w:pPr>
        <w:ind w:left="11057"/>
        <w:jc w:val="both"/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D83750" w:rsidRDefault="00D83750">
      <w:pPr>
        <w:ind w:left="11057"/>
        <w:jc w:val="both"/>
        <w:rPr>
          <w:sz w:val="28"/>
          <w:szCs w:val="28"/>
        </w:rPr>
      </w:pPr>
    </w:p>
    <w:p w:rsidR="00D83750" w:rsidRDefault="00137D3A">
      <w:pPr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83750" w:rsidRDefault="00D83750">
      <w:pPr>
        <w:ind w:left="11057"/>
        <w:jc w:val="both"/>
        <w:rPr>
          <w:sz w:val="28"/>
          <w:szCs w:val="28"/>
        </w:rPr>
      </w:pPr>
    </w:p>
    <w:p w:rsidR="00D83750" w:rsidRDefault="00137D3A">
      <w:pPr>
        <w:tabs>
          <w:tab w:val="left" w:pos="11199"/>
        </w:tabs>
        <w:spacing w:after="720"/>
        <w:ind w:left="11057"/>
      </w:pPr>
      <w:r>
        <w:rPr>
          <w:sz w:val="28"/>
          <w:szCs w:val="28"/>
        </w:rPr>
        <w:t>к Государственной программе</w:t>
      </w:r>
    </w:p>
    <w:p w:rsidR="00D83750" w:rsidRDefault="00137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83750" w:rsidRDefault="00137D3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методике расчета значений целевых показателей эффективности реализации Государственной программы</w:t>
      </w:r>
    </w:p>
    <w:tbl>
      <w:tblPr>
        <w:tblStyle w:val="ad"/>
        <w:tblW w:w="15109" w:type="dxa"/>
        <w:tblInd w:w="25" w:type="dxa"/>
        <w:tblLook w:val="04A0" w:firstRow="1" w:lastRow="0" w:firstColumn="1" w:lastColumn="0" w:noHBand="0" w:noVBand="1"/>
      </w:tblPr>
      <w:tblGrid>
        <w:gridCol w:w="649"/>
        <w:gridCol w:w="3827"/>
        <w:gridCol w:w="10633"/>
      </w:tblGrid>
      <w:tr w:rsidR="00D83750" w:rsidTr="004F61F1">
        <w:trPr>
          <w:trHeight w:val="1012"/>
          <w:tblHeader/>
        </w:trPr>
        <w:tc>
          <w:tcPr>
            <w:tcW w:w="649" w:type="dxa"/>
            <w:shd w:val="clear" w:color="auto" w:fill="auto"/>
          </w:tcPr>
          <w:p w:rsidR="00D83750" w:rsidRDefault="00137D3A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D83750" w:rsidRDefault="00137D3A">
            <w:pPr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10633" w:type="dxa"/>
            <w:shd w:val="clear" w:color="auto" w:fill="auto"/>
          </w:tcPr>
          <w:p w:rsidR="00D83750" w:rsidRDefault="00137D3A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4F61F1" w:rsidTr="004F61F1">
        <w:trPr>
          <w:trHeight w:val="1703"/>
        </w:trPr>
        <w:tc>
          <w:tcPr>
            <w:tcW w:w="649" w:type="dxa"/>
            <w:vMerge w:val="restart"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widowControl w:val="0"/>
              <w:suppressAutoHyphens/>
              <w:ind w:right="41"/>
            </w:pPr>
            <w:r>
              <w:rPr>
                <w:sz w:val="28"/>
                <w:szCs w:val="28"/>
              </w:rPr>
              <w:t xml:space="preserve">Государственная программа Кировской области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F61F1" w:rsidTr="004F61F1">
        <w:trPr>
          <w:trHeight w:val="1703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Pr="004F61F1" w:rsidRDefault="004F61F1">
            <w:r w:rsidRPr="004F61F1"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0633" w:type="dxa"/>
            <w:shd w:val="clear" w:color="auto" w:fill="auto"/>
          </w:tcPr>
          <w:p w:rsidR="004F61F1" w:rsidRPr="004F61F1" w:rsidRDefault="004F61F1">
            <w:pPr>
              <w:pStyle w:val="ConsPlusNormal"/>
              <w:suppressAutoHyphens/>
            </w:pPr>
            <w:r w:rsidRPr="004F61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4F61F1" w:rsidRPr="004F61F1" w:rsidRDefault="004F61F1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61F1" w:rsidRPr="004F61F1" w:rsidRDefault="004F61F1">
            <w:pPr>
              <w:pStyle w:val="ConsPlusNormal"/>
              <w:suppressAutoHyphens/>
              <w:ind w:firstLine="709"/>
              <w:jc w:val="center"/>
            </w:pPr>
            <w:r w:rsidRPr="004F61F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F61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 w:rsidRPr="004F61F1"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4F61F1" w:rsidRPr="004F61F1" w:rsidRDefault="004F61F1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F1" w:rsidRPr="004F61F1" w:rsidRDefault="004F61F1">
            <w:pPr>
              <w:pStyle w:val="ConsPlusNormal"/>
              <w:suppressAutoHyphens/>
              <w:jc w:val="both"/>
            </w:pPr>
            <w:r w:rsidRPr="004F61F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F61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 w:rsidRPr="004F61F1"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4F61F1" w:rsidRPr="004F61F1" w:rsidRDefault="004F61F1">
            <w:pPr>
              <w:pStyle w:val="ConsPlusNormal"/>
              <w:suppressAutoHyphens/>
              <w:jc w:val="both"/>
            </w:pPr>
            <w:r w:rsidRPr="004F61F1">
              <w:rPr>
                <w:rFonts w:ascii="Times New Roman" w:hAnsi="Times New Roman" w:cs="Times New Roman"/>
                <w:sz w:val="28"/>
                <w:szCs w:val="28"/>
              </w:rPr>
              <w:t xml:space="preserve">Е – количество отремонтированных потенциально опасных гидротехнических </w:t>
            </w:r>
            <w:r w:rsidRPr="004F6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сооружений, находящихся в собственности Кировской области, муниципальной собственности, а также бесхозяйных, начиная с 2010 года (базовый период) по отчетный период (единиц), по данным министерства охраны окружающей среды Кировской области;</w:t>
            </w:r>
          </w:p>
          <w:p w:rsidR="004F61F1" w:rsidRPr="004F61F1" w:rsidRDefault="004F61F1">
            <w:pPr>
              <w:pStyle w:val="ConsPlusNormal"/>
              <w:suppressAutoHyphens/>
              <w:jc w:val="both"/>
            </w:pPr>
            <w:r w:rsidRPr="004F61F1">
              <w:rPr>
                <w:rFonts w:ascii="Times New Roman" w:hAnsi="Times New Roman" w:cs="Times New Roman"/>
                <w:sz w:val="28"/>
                <w:szCs w:val="28"/>
              </w:rPr>
              <w:t xml:space="preserve">Ж – общее количество потенциально опасных гидротехнических сооружений с неудовлетворительным уровнем безопасности, находящихся в собственности Кировской области,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технологическому и атомному надзору Кировской области. </w:t>
            </w:r>
          </w:p>
          <w:p w:rsidR="004F61F1" w:rsidRPr="004F61F1" w:rsidRDefault="004F61F1">
            <w:pPr>
              <w:pStyle w:val="ConsPlusNormal"/>
              <w:suppressAutoHyphens/>
              <w:jc w:val="both"/>
            </w:pPr>
            <w:r w:rsidRPr="004F61F1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4F61F1" w:rsidTr="004F61F1">
        <w:trPr>
          <w:trHeight w:val="1061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Pr="004F61F1" w:rsidRDefault="004F61F1">
            <w:r w:rsidRPr="004F61F1"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0633" w:type="dxa"/>
            <w:shd w:val="clear" w:color="auto" w:fill="auto"/>
          </w:tcPr>
          <w:p w:rsidR="004F61F1" w:rsidRPr="004F61F1" w:rsidRDefault="004F61F1">
            <w:pPr>
              <w:jc w:val="both"/>
            </w:pPr>
            <w:r w:rsidRPr="004F61F1">
              <w:rPr>
                <w:color w:val="000000" w:themeColor="text1"/>
                <w:sz w:val="28"/>
                <w:szCs w:val="28"/>
              </w:rPr>
              <w:t xml:space="preserve">по данным министерства </w:t>
            </w:r>
            <w:bookmarkStart w:id="1" w:name="__DdeLink__2675_3184991750"/>
            <w:r w:rsidRPr="004F61F1">
              <w:rPr>
                <w:color w:val="000000" w:themeColor="text1"/>
                <w:sz w:val="28"/>
                <w:szCs w:val="28"/>
              </w:rPr>
              <w:t>охраны окружающей среды</w:t>
            </w:r>
            <w:bookmarkEnd w:id="1"/>
            <w:r w:rsidRPr="004F61F1">
              <w:rPr>
                <w:color w:val="000000" w:themeColor="text1"/>
                <w:sz w:val="28"/>
                <w:szCs w:val="28"/>
              </w:rPr>
              <w:t xml:space="preserve">  Кировской области</w:t>
            </w:r>
          </w:p>
        </w:tc>
      </w:tr>
      <w:tr w:rsidR="004F61F1" w:rsidTr="004F61F1">
        <w:trPr>
          <w:trHeight w:val="1703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r>
              <w:rPr>
                <w:sz w:val="28"/>
                <w:szCs w:val="28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4F61F1" w:rsidRDefault="004F61F1">
            <w:pPr>
              <w:rPr>
                <w:sz w:val="28"/>
                <w:szCs w:val="28"/>
              </w:rPr>
            </w:pPr>
          </w:p>
          <w:p w:rsidR="004F61F1" w:rsidRDefault="004F61F1">
            <w:pPr>
              <w:rPr>
                <w:sz w:val="28"/>
                <w:szCs w:val="28"/>
              </w:rPr>
            </w:pP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4F61F1" w:rsidRDefault="004F61F1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61F1" w:rsidRDefault="004F61F1">
            <w:pPr>
              <w:jc w:val="center"/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 xml:space="preserve">свлр </w:t>
            </w:r>
            <w:r>
              <w:rPr>
                <w:sz w:val="28"/>
                <w:szCs w:val="28"/>
              </w:rPr>
              <w:t>/ 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х 100%, где:</w:t>
            </w:r>
          </w:p>
          <w:p w:rsidR="004F61F1" w:rsidRDefault="004F61F1">
            <w:pPr>
              <w:jc w:val="both"/>
              <w:rPr>
                <w:sz w:val="28"/>
                <w:szCs w:val="28"/>
              </w:rPr>
            </w:pPr>
          </w:p>
          <w:p w:rsidR="004F61F1" w:rsidRDefault="004F61F1">
            <w:pPr>
              <w:jc w:val="both"/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– 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4F61F1" w:rsidRDefault="004F61F1">
            <w:pPr>
              <w:jc w:val="both"/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>
              <w:rPr>
                <w:sz w:val="28"/>
                <w:szCs w:val="28"/>
              </w:rPr>
              <w:t xml:space="preserve"> – количество ликвидированных или рекультивированных свалок бытовых (коммунальных) отходов за отчетный период (единиц), по данным министерства охраны окружающей среды Кировской области;</w:t>
            </w:r>
          </w:p>
          <w:p w:rsidR="004F61F1" w:rsidRDefault="004F61F1">
            <w:pPr>
              <w:jc w:val="both"/>
            </w:pPr>
            <w:r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– количество свалок бытовых (коммунальных) отходов, проинвентаризированных в 2012 году и подлежащих ликвидации или рекультивации (единиц), по данным ведомственной отчетности министерства охраны окружающей среды Кировской области. </w:t>
            </w:r>
          </w:p>
          <w:p w:rsidR="004F61F1" w:rsidRDefault="004F61F1">
            <w:pPr>
              <w:jc w:val="both"/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4F61F1" w:rsidTr="004F61F1">
        <w:trPr>
          <w:trHeight w:val="786"/>
        </w:trPr>
        <w:tc>
          <w:tcPr>
            <w:tcW w:w="649" w:type="dxa"/>
            <w:vMerge/>
            <w:shd w:val="clear" w:color="auto" w:fill="auto"/>
          </w:tcPr>
          <w:p w:rsidR="004F61F1" w:rsidRPr="002F025D" w:rsidRDefault="004F61F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8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статистического наблюдения № 2-ТП (водхоз)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Сведения об использовании воды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F61F1" w:rsidTr="004F61F1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области, составленной на основании баланса запасов полезных ископаемых Кировской области</w:t>
            </w:r>
          </w:p>
        </w:tc>
      </w:tr>
      <w:tr w:rsidR="004F61F1" w:rsidTr="004F61F1">
        <w:trPr>
          <w:trHeight w:val="1703"/>
        </w:trPr>
        <w:tc>
          <w:tcPr>
            <w:tcW w:w="649" w:type="dxa"/>
            <w:vMerge w:val="restart"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4F61F1" w:rsidRDefault="004F61F1">
            <w:r>
              <w:rPr>
                <w:color w:val="000000"/>
                <w:sz w:val="28"/>
                <w:szCs w:val="28"/>
              </w:rPr>
              <w:t xml:space="preserve">Отдельное мероприятие </w:t>
            </w:r>
            <w:r>
              <w:rPr>
                <w:sz w:val="28"/>
                <w:szCs w:val="28"/>
              </w:rPr>
              <w:t>«Охрана, воспроизводство и регулирование использования объектов животного мира и среды их обитания»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F61F1" w:rsidTr="004F61F1">
        <w:trPr>
          <w:trHeight w:val="675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4F61F1" w:rsidRDefault="004F61F1">
            <w:r>
              <w:rPr>
                <w:color w:val="000000" w:themeColor="text1"/>
                <w:sz w:val="28"/>
                <w:szCs w:val="28"/>
              </w:rPr>
              <w:t>количество видов птиц, отнесенных к объектам охоты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4F61F1" w:rsidRDefault="004F61F1">
            <w:pPr>
              <w:jc w:val="both"/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 Кировской области</w:t>
            </w:r>
          </w:p>
        </w:tc>
      </w:tr>
      <w:tr w:rsidR="004F61F1" w:rsidTr="004F61F1">
        <w:trPr>
          <w:trHeight w:val="925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4F61F1" w:rsidRDefault="004F61F1">
            <w:r>
              <w:rPr>
                <w:color w:val="000000" w:themeColor="text1"/>
                <w:sz w:val="28"/>
                <w:szCs w:val="28"/>
              </w:rPr>
              <w:t>количество видов млекопитающих, отнесенных к объектам охоты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4F61F1" w:rsidRDefault="004F61F1">
            <w:pPr>
              <w:jc w:val="both"/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 Кировской области</w:t>
            </w:r>
          </w:p>
        </w:tc>
      </w:tr>
      <w:tr w:rsidR="004F61F1" w:rsidTr="004F61F1">
        <w:trPr>
          <w:trHeight w:val="925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4F61F1" w:rsidRDefault="004F61F1">
            <w:r>
              <w:rPr>
                <w:color w:val="000000" w:themeColor="text1"/>
                <w:sz w:val="28"/>
                <w:szCs w:val="28"/>
              </w:rPr>
              <w:t>издание документа об утверждении лимита добычи охотничьих ресурсов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4F61F1" w:rsidRDefault="004F61F1">
            <w:pPr>
              <w:jc w:val="both"/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  Кировской области</w:t>
            </w:r>
          </w:p>
        </w:tc>
      </w:tr>
      <w:tr w:rsidR="004F61F1" w:rsidTr="004F61F1">
        <w:trPr>
          <w:trHeight w:val="1647"/>
        </w:trPr>
        <w:tc>
          <w:tcPr>
            <w:tcW w:w="649" w:type="dxa"/>
            <w:vMerge w:val="restart"/>
            <w:tcBorders>
              <w:top w:val="nil"/>
            </w:tcBorders>
            <w:shd w:val="clear" w:color="auto" w:fill="auto"/>
          </w:tcPr>
          <w:p w:rsidR="004F61F1" w:rsidRDefault="004F61F1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4F61F1" w:rsidRDefault="004F61F1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Отдельное мероприятие «Сокращение вредного воздействия отходов производства и потребления на окружающую среду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61F1" w:rsidTr="004F61F1">
        <w:trPr>
          <w:trHeight w:val="1557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Pr="00CA4D70" w:rsidRDefault="004F61F1">
            <w:r>
              <w:rPr>
                <w:color w:val="000000"/>
                <w:sz w:val="28"/>
                <w:szCs w:val="28"/>
              </w:rPr>
              <w:t>количество закрытых (в том числе ликвидированных или рекультивированных) свалок бытовых (коммунальных) отходов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4F61F1" w:rsidRDefault="004F61F1">
            <w:pPr>
              <w:jc w:val="both"/>
              <w:rPr>
                <w:rFonts w:eastAsiaTheme="minorHAnsi"/>
              </w:rPr>
            </w:pPr>
          </w:p>
        </w:tc>
      </w:tr>
      <w:tr w:rsidR="004F61F1" w:rsidTr="004F61F1"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4F61F1" w:rsidRDefault="004F61F1">
            <w:pPr>
              <w:rPr>
                <w:sz w:val="25"/>
                <w:szCs w:val="25"/>
              </w:rPr>
            </w:pPr>
            <w:r>
              <w:rPr>
                <w:color w:val="000000"/>
                <w:sz w:val="28"/>
                <w:szCs w:val="28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4F61F1" w:rsidRDefault="004F61F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мест (площадок) накопления твердых коммунальных отходов</w:t>
            </w:r>
            <w:r>
              <w:rPr>
                <w:sz w:val="28"/>
                <w:szCs w:val="28"/>
              </w:rPr>
              <w:t>, созданных за счет субсидии из областного бюджета в рамках Государственной программы, по данным ведомственной отчетности министерства строительства, энергетики и жилищно-коммунального хозяйства Кировской области</w:t>
            </w:r>
          </w:p>
        </w:tc>
      </w:tr>
      <w:tr w:rsidR="004F61F1" w:rsidTr="004F61F1">
        <w:tc>
          <w:tcPr>
            <w:tcW w:w="649" w:type="dxa"/>
            <w:vMerge w:val="restart"/>
            <w:shd w:val="clear" w:color="auto" w:fill="auto"/>
          </w:tcPr>
          <w:p w:rsidR="004F61F1" w:rsidRDefault="004F61F1" w:rsidP="00CA4D70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  <w:p w:rsidR="004F61F1" w:rsidRDefault="004F61F1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  <w:p w:rsidR="004F61F1" w:rsidRDefault="004F61F1" w:rsidP="007D7282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Региональный проект «Формирование комплексной системы обращения с твердыми коммунальными отходами на территории Кировской области»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61F1" w:rsidTr="004F61F1">
        <w:trPr>
          <w:trHeight w:val="938"/>
        </w:trPr>
        <w:tc>
          <w:tcPr>
            <w:tcW w:w="649" w:type="dxa"/>
            <w:vMerge/>
            <w:shd w:val="clear" w:color="auto" w:fill="auto"/>
          </w:tcPr>
          <w:p w:rsidR="004F61F1" w:rsidRDefault="004F61F1" w:rsidP="007D7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 твердых коммунальных отходов, направленных на обработку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строительства, энергетики и жилищно-коммунального хозяйства Кировской области. Значение показателя указывается нарастающим итогом</w:t>
            </w:r>
          </w:p>
        </w:tc>
      </w:tr>
      <w:tr w:rsidR="004F61F1" w:rsidTr="004F61F1">
        <w:trPr>
          <w:trHeight w:val="1236"/>
        </w:trPr>
        <w:tc>
          <w:tcPr>
            <w:tcW w:w="649" w:type="dxa"/>
            <w:vMerge/>
            <w:shd w:val="clear" w:color="auto" w:fill="auto"/>
          </w:tcPr>
          <w:p w:rsidR="004F61F1" w:rsidRDefault="004F61F1" w:rsidP="007D72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 твердых коммунальных отходов, направленных на утилизацию (вторичную переработку)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строительства, энергетики и жилищно-коммунального хозяйства Кировской области. Значение показателя указывается нарастающим итогом</w:t>
            </w:r>
          </w:p>
        </w:tc>
      </w:tr>
      <w:tr w:rsidR="004F61F1" w:rsidTr="004F61F1">
        <w:trPr>
          <w:trHeight w:val="642"/>
        </w:trPr>
        <w:tc>
          <w:tcPr>
            <w:tcW w:w="649" w:type="dxa"/>
            <w:vMerge/>
            <w:shd w:val="clear" w:color="auto" w:fill="auto"/>
          </w:tcPr>
          <w:p w:rsidR="004F61F1" w:rsidRDefault="004F61F1" w:rsidP="007D7282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по следующей формуле:</w:t>
            </w:r>
          </w:p>
          <w:p w:rsidR="004F61F1" w:rsidRDefault="004F61F1">
            <w:pPr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F61F1" w:rsidRDefault="004F61F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утил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= В / ОМ x 100%, где:</w:t>
            </w:r>
          </w:p>
          <w:p w:rsidR="004F61F1" w:rsidRDefault="004F61F1">
            <w:pPr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утил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 (процентов);</w:t>
            </w: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объем выделенных в результате раздельного накопления и обработки (сортировки) твердых коммунальных отходов (млн. тонн), по данным министерства строительства, энергетики и жилищно-коммунального хозяйства Кировской области;</w:t>
            </w: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ОМ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общая масса образованных твердых коммунальных отходов (млн. тонн), по данным министерства строительства, энергетики и жилищно-коммунального хозяйства Кировской области.</w:t>
            </w:r>
          </w:p>
          <w:p w:rsidR="004F61F1" w:rsidRDefault="004F61F1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указывается нарастающим итогом</w:t>
            </w:r>
          </w:p>
        </w:tc>
      </w:tr>
      <w:tr w:rsidR="004F61F1" w:rsidTr="004F61F1">
        <w:trPr>
          <w:trHeight w:val="1610"/>
        </w:trPr>
        <w:tc>
          <w:tcPr>
            <w:tcW w:w="649" w:type="dxa"/>
            <w:vMerge/>
            <w:shd w:val="clear" w:color="auto" w:fill="auto"/>
          </w:tcPr>
          <w:p w:rsidR="004F61F1" w:rsidRDefault="004F61F1" w:rsidP="007D7282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по следующей формуле:</w:t>
            </w:r>
          </w:p>
          <w:p w:rsidR="004F61F1" w:rsidRDefault="004F61F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F61F1" w:rsidRDefault="004F61F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обр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= О / ОМ x 100%, где:</w:t>
            </w:r>
          </w:p>
          <w:p w:rsidR="004F61F1" w:rsidRDefault="004F61F1">
            <w:pPr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обр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 (процентов);</w:t>
            </w: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объем твердых коммунальных отходов, направленных на обработку (сортировку) (млн. тонн), по данным министерства строительства, энергетики и жилищно-коммунального хозяйства Кировской области;</w:t>
            </w: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ОМ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общая масса образованных твердых коммунальных отходов (млн. тонн), по данным министерства строительства, энергетики и жилищно-коммунального хозяйства Кировской области.</w:t>
            </w:r>
          </w:p>
          <w:p w:rsidR="004F61F1" w:rsidRDefault="004F61F1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указывается нарастающим итогом</w:t>
            </w:r>
          </w:p>
        </w:tc>
      </w:tr>
      <w:tr w:rsidR="004F61F1" w:rsidTr="004F61F1">
        <w:trPr>
          <w:trHeight w:val="1350"/>
        </w:trPr>
        <w:tc>
          <w:tcPr>
            <w:tcW w:w="649" w:type="dxa"/>
            <w:vMerge/>
            <w:shd w:val="clear" w:color="auto" w:fill="auto"/>
          </w:tcPr>
          <w:p w:rsidR="004F61F1" w:rsidRDefault="004F61F1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827" w:type="dxa"/>
            <w:shd w:val="clear" w:color="auto" w:fill="auto"/>
          </w:tcPr>
          <w:p w:rsidR="004F61F1" w:rsidRDefault="004F61F1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</w:p>
        </w:tc>
        <w:tc>
          <w:tcPr>
            <w:tcW w:w="10633" w:type="dxa"/>
            <w:shd w:val="clear" w:color="auto" w:fill="auto"/>
          </w:tcPr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по следующей формуле:</w:t>
            </w:r>
          </w:p>
          <w:p w:rsidR="004F61F1" w:rsidRDefault="004F61F1">
            <w:pPr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4F61F1" w:rsidRDefault="004F61F1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зах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= З / ОМ x 100%, где:</w:t>
            </w:r>
          </w:p>
          <w:p w:rsidR="004F61F1" w:rsidRDefault="004F61F1">
            <w:pPr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зах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 (процентов);</w:t>
            </w:r>
          </w:p>
          <w:p w:rsidR="004F61F1" w:rsidRDefault="004F61F1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объем направленных на захоронение твердых коммунальных отходов, в том числе прошедших обработку (сортировку) (млн. тонн), по данным министерства строительства, энергетики и жилищно-коммунального хозяйства Кировской области;</w:t>
            </w:r>
          </w:p>
          <w:p w:rsidR="004F61F1" w:rsidRDefault="004F61F1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ОМ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общая масса образованных твердых коммунальных отходов (млн. тонн),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данным министерства строительства, энергетики и жилищно-коммунального хозяйства Кировской области</w:t>
            </w:r>
          </w:p>
        </w:tc>
      </w:tr>
    </w:tbl>
    <w:p w:rsidR="00D83750" w:rsidRDefault="00137D3A">
      <w:pPr>
        <w:spacing w:before="720"/>
        <w:jc w:val="center"/>
      </w:pPr>
      <w:r>
        <w:rPr>
          <w:b/>
          <w:sz w:val="28"/>
          <w:szCs w:val="28"/>
        </w:rPr>
        <w:lastRenderedPageBreak/>
        <w:t>_____________</w:t>
      </w:r>
    </w:p>
    <w:sectPr w:rsidR="00D83750" w:rsidSect="00044E1E">
      <w:headerReference w:type="default" r:id="rId9"/>
      <w:pgSz w:w="16838" w:h="11906" w:orient="landscape"/>
      <w:pgMar w:top="1701" w:right="851" w:bottom="709" w:left="1134" w:header="709" w:footer="0" w:gutter="0"/>
      <w:pgNumType w:start="17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94" w:rsidRDefault="002E6D94" w:rsidP="00D83750">
      <w:r>
        <w:separator/>
      </w:r>
    </w:p>
  </w:endnote>
  <w:endnote w:type="continuationSeparator" w:id="0">
    <w:p w:rsidR="002E6D94" w:rsidRDefault="002E6D94" w:rsidP="00D8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94" w:rsidRDefault="002E6D94" w:rsidP="00D83750">
      <w:r>
        <w:separator/>
      </w:r>
    </w:p>
  </w:footnote>
  <w:footnote w:type="continuationSeparator" w:id="0">
    <w:p w:rsidR="002E6D94" w:rsidRDefault="002E6D94" w:rsidP="00D83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48323"/>
      <w:docPartObj>
        <w:docPartGallery w:val="Page Numbers (Top of Page)"/>
        <w:docPartUnique/>
      </w:docPartObj>
    </w:sdtPr>
    <w:sdtEndPr/>
    <w:sdtContent>
      <w:p w:rsidR="00044E1E" w:rsidRDefault="00044E1E">
        <w:pPr>
          <w:pStyle w:val="11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652347">
          <w:rPr>
            <w:noProof/>
            <w:sz w:val="28"/>
            <w:szCs w:val="28"/>
          </w:rPr>
          <w:t>17</w:t>
        </w:r>
        <w:r>
          <w:rPr>
            <w:sz w:val="28"/>
            <w:szCs w:val="28"/>
          </w:rPr>
          <w:fldChar w:fldCharType="end"/>
        </w:r>
      </w:p>
    </w:sdtContent>
  </w:sdt>
  <w:p w:rsidR="00044E1E" w:rsidRDefault="00044E1E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50"/>
    <w:rsid w:val="00044E1E"/>
    <w:rsid w:val="00137D3A"/>
    <w:rsid w:val="002E6D94"/>
    <w:rsid w:val="002F025D"/>
    <w:rsid w:val="004F61F1"/>
    <w:rsid w:val="00652347"/>
    <w:rsid w:val="00B4367A"/>
    <w:rsid w:val="00CA4D70"/>
    <w:rsid w:val="00CD6530"/>
    <w:rsid w:val="00D83750"/>
    <w:rsid w:val="00E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link w:val="11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2">
    <w:name w:val="Название объекта1"/>
    <w:basedOn w:val="a"/>
    <w:qFormat/>
    <w:rsid w:val="00CA6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2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3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e"/>
    <w:uiPriority w:val="99"/>
    <w:semiHidden/>
    <w:rsid w:val="00044E1E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30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"/>
    <w:uiPriority w:val="99"/>
    <w:semiHidden/>
    <w:rsid w:val="00044E1E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link w:val="11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2">
    <w:name w:val="Название объекта1"/>
    <w:basedOn w:val="a"/>
    <w:qFormat/>
    <w:rsid w:val="00CA6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2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3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e"/>
    <w:uiPriority w:val="99"/>
    <w:semiHidden/>
    <w:rsid w:val="00044E1E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30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"/>
    <w:uiPriority w:val="99"/>
    <w:semiHidden/>
    <w:rsid w:val="00044E1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799A-5A40-4A8F-BBC3-20DF6B7C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4021.00.55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dc:title>
  <dc:creator>Novoselova</dc:creator>
  <cp:lastModifiedBy>Любовь В. Кузнецова</cp:lastModifiedBy>
  <cp:revision>2</cp:revision>
  <cp:lastPrinted>2020-11-02T14:55:00Z</cp:lastPrinted>
  <dcterms:created xsi:type="dcterms:W3CDTF">2022-03-10T12:12:00Z</dcterms:created>
  <dcterms:modified xsi:type="dcterms:W3CDTF">2022-03-10T12:12:00Z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